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博士生姓名：</w:t>
      </w: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张欢</w:t>
      </w:r>
      <w:proofErr w:type="gramStart"/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欢</w:t>
      </w:r>
      <w:proofErr w:type="gramEnd"/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年级专业：</w:t>
      </w:r>
      <w:bookmarkStart w:id="0" w:name="_GoBack"/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2016级公共管理</w:t>
      </w:r>
      <w:bookmarkEnd w:id="0"/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导师姓名：</w:t>
      </w: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陶传进教授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预答辩时间及地点：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       2020年5月13日9:00-10:00（远程视频答辩：</w:t>
      </w:r>
      <w:proofErr w:type="gramStart"/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腾讯会议</w:t>
      </w:r>
      <w:proofErr w:type="gramEnd"/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）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       会议 ID：997 977 622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论文题目：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      改革开放以来国家与社会关系研究——以N机构为例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预答辩简述：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   国家与社会关系一直是学界讨论的焦点。改革开放后，社会组织呈现出“爆发式”增长的态势。改革开放以来的几十年间，社会组织不仅是数量上的增长，而且在社会治理发挥着越来越重要的作用。社会组织成为理解中国国家与社会关系的重要“锚点”，有关社会组织的研究也主要嵌入在国家与社会关系框架之下。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   本研究关注改革开放以来国家与社会关系的动态变迁，从既有理论入手，通过梳理发现，我国国家与社会关系大致分为两个阶段：2013年之前属于第一阶段，这期间提出的较为权威的国家与社会关系理论，无论是公民社会理论、法团主义、嵌入理论和行政吸纳社会理论均强调国家对社会组织控制；第二个阶段为2013年之后，学者对国家与社会关系的判断呈现出多元化的特点，甚至得出</w:t>
      </w:r>
      <w:r w:rsidRPr="000D27DC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了完全相反的结论。那么，2013年后，国家与社会究竟呈现出什么样的关系？改革开放以来，国家与社会关系经历了哪些变迁？社会组织如何适应国家与社会关系变化？在实际操作中，国家如何更好地推动社会治理体制创新？为了研究这些问题，本研究引入“合法性”概念，从意识形态合法性、程序（法律）合法性、绩效合法性三个维度来考察国家与社会关系的变化，并以N机构为案例详细分析了改革开放以来国家与社会关系的变化。研究发现，改革开放以来，我国国家与社会关系从政治维度转向治理维度。随着国家与社会关系的变化，专业性在社会组织发展过程中发挥着越来越重要的作用，成为社会组织自身发展和参与社会治理的关键。为了推进社会治理体系创新，国家首先要提升自身能力，识别治理型组织与非治理型组织；其次，依据社会组织的类型实行不同的管理策略。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预</w:t>
      </w:r>
      <w:proofErr w:type="gramStart"/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答辩组</w:t>
      </w:r>
      <w:proofErr w:type="gramEnd"/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成员：</w:t>
      </w:r>
      <w:r w:rsidRPr="000D27DC">
        <w:rPr>
          <w:rFonts w:ascii="宋体" w:eastAsia="宋体" w:hAnsi="宋体" w:cs="Arial" w:hint="eastAsia"/>
          <w:color w:val="000000"/>
          <w:kern w:val="0"/>
          <w:sz w:val="17"/>
          <w:szCs w:val="17"/>
        </w:rPr>
        <w:t> 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高  颖（组长）：  </w:t>
      </w:r>
      <w:bookmarkStart w:id="1" w:name="OLE_LINK4"/>
      <w:bookmarkStart w:id="2" w:name="OLE_LINK3"/>
      <w:bookmarkEnd w:id="1"/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北京师范大学社会发展与公共政策学院  教授</w:t>
      </w:r>
      <w:bookmarkEnd w:id="2"/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杨力超（委员）：北京师范大学社会发展与公共政策学院  副教授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韩俊魁（委员）：北京师范大学中国社会管理研究院/社会学院 副教授</w:t>
      </w:r>
    </w:p>
    <w:p w:rsidR="000D27DC" w:rsidRPr="000D27DC" w:rsidRDefault="000D27DC" w:rsidP="000D27DC">
      <w:pPr>
        <w:widowControl/>
        <w:wordWrap w:val="0"/>
        <w:spacing w:before="100" w:after="100"/>
        <w:ind w:left="30" w:right="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D27DC">
        <w:rPr>
          <w:rFonts w:ascii="等线" w:eastAsia="等线" w:hAnsi="等线" w:cs="Arial" w:hint="eastAsia"/>
          <w:b/>
          <w:bCs/>
          <w:color w:val="000000"/>
          <w:kern w:val="0"/>
          <w:sz w:val="28"/>
          <w:szCs w:val="28"/>
        </w:rPr>
        <w:t>预答辩秘书：</w:t>
      </w:r>
      <w:r w:rsidRPr="000D27DC">
        <w:rPr>
          <w:rFonts w:ascii="等线" w:eastAsia="等线" w:hAnsi="等线" w:cs="Arial" w:hint="eastAsia"/>
          <w:color w:val="000000"/>
          <w:kern w:val="0"/>
          <w:sz w:val="28"/>
          <w:szCs w:val="28"/>
        </w:rPr>
        <w:t>戴影</w:t>
      </w:r>
    </w:p>
    <w:p w:rsidR="00762242" w:rsidRDefault="00762242"/>
    <w:sectPr w:rsidR="0076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C"/>
    <w:rsid w:val="000D27DC"/>
    <w:rsid w:val="007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97EA-13E9-4687-813A-91DF867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2020-05-11T09:40:00Z</dcterms:created>
  <dcterms:modified xsi:type="dcterms:W3CDTF">2020-05-11T09:41:00Z</dcterms:modified>
</cp:coreProperties>
</file>