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56" w:rsidRDefault="00EC0456" w:rsidP="008B7A70">
      <w:pPr>
        <w:spacing w:line="360" w:lineRule="auto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博士生姓名：钟德平</w:t>
      </w:r>
    </w:p>
    <w:p w:rsidR="008B7A70" w:rsidRPr="008B7A70" w:rsidRDefault="008B7A70" w:rsidP="008B7A70">
      <w:pPr>
        <w:spacing w:line="360" w:lineRule="auto"/>
        <w:rPr>
          <w:rFonts w:ascii="宋体" w:eastAsia="宋体" w:hAnsi="宋体" w:hint="eastAsia"/>
          <w:sz w:val="22"/>
        </w:rPr>
      </w:pPr>
    </w:p>
    <w:p w:rsidR="00EC0456" w:rsidRDefault="00EC0456" w:rsidP="008B7A70">
      <w:pPr>
        <w:spacing w:line="360" w:lineRule="auto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年级专业：2</w:t>
      </w:r>
      <w:r>
        <w:rPr>
          <w:rFonts w:ascii="宋体" w:eastAsia="宋体" w:hAnsi="宋体"/>
          <w:sz w:val="22"/>
        </w:rPr>
        <w:t>018</w:t>
      </w:r>
      <w:r>
        <w:rPr>
          <w:rFonts w:ascii="宋体" w:eastAsia="宋体" w:hAnsi="宋体" w:hint="eastAsia"/>
          <w:sz w:val="22"/>
        </w:rPr>
        <w:t>级公共管理专业</w:t>
      </w:r>
      <w:bookmarkStart w:id="0" w:name="_GoBack"/>
      <w:bookmarkEnd w:id="0"/>
    </w:p>
    <w:p w:rsidR="008B7A70" w:rsidRDefault="008B7A70" w:rsidP="008B7A70">
      <w:pPr>
        <w:spacing w:line="360" w:lineRule="auto"/>
        <w:rPr>
          <w:rFonts w:ascii="宋体" w:eastAsia="宋体" w:hAnsi="宋体" w:hint="eastAsia"/>
          <w:sz w:val="22"/>
        </w:rPr>
      </w:pPr>
    </w:p>
    <w:p w:rsidR="00EC0456" w:rsidRDefault="00EC0456" w:rsidP="008B7A70">
      <w:pPr>
        <w:spacing w:line="360" w:lineRule="auto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导师姓名：张强教授</w:t>
      </w:r>
    </w:p>
    <w:p w:rsidR="008B7A70" w:rsidRDefault="008B7A70" w:rsidP="008B7A70">
      <w:pPr>
        <w:spacing w:line="360" w:lineRule="auto"/>
        <w:rPr>
          <w:rFonts w:ascii="宋体" w:eastAsia="宋体" w:hAnsi="宋体" w:hint="eastAsia"/>
          <w:sz w:val="22"/>
        </w:rPr>
      </w:pPr>
    </w:p>
    <w:p w:rsidR="00B9479B" w:rsidRDefault="00B9479B" w:rsidP="008B7A70">
      <w:pPr>
        <w:spacing w:line="360" w:lineRule="auto"/>
        <w:rPr>
          <w:rFonts w:ascii="宋体" w:eastAsia="宋体" w:hAnsi="宋体"/>
          <w:sz w:val="22"/>
        </w:rPr>
      </w:pPr>
      <w:r w:rsidRPr="003722C5">
        <w:rPr>
          <w:rFonts w:ascii="宋体" w:eastAsia="宋体" w:hAnsi="宋体" w:hint="eastAsia"/>
          <w:sz w:val="22"/>
        </w:rPr>
        <w:t>预答辩时间：2</w:t>
      </w:r>
      <w:r w:rsidRPr="003722C5">
        <w:rPr>
          <w:rFonts w:ascii="宋体" w:eastAsia="宋体" w:hAnsi="宋体"/>
          <w:sz w:val="22"/>
        </w:rPr>
        <w:t>021</w:t>
      </w:r>
      <w:r w:rsidRPr="003722C5">
        <w:rPr>
          <w:rFonts w:ascii="宋体" w:eastAsia="宋体" w:hAnsi="宋体" w:hint="eastAsia"/>
          <w:sz w:val="22"/>
        </w:rPr>
        <w:t>年1</w:t>
      </w:r>
      <w:r w:rsidRPr="003722C5">
        <w:rPr>
          <w:rFonts w:ascii="宋体" w:eastAsia="宋体" w:hAnsi="宋体"/>
          <w:sz w:val="22"/>
        </w:rPr>
        <w:t>2</w:t>
      </w:r>
      <w:r w:rsidRPr="003722C5">
        <w:rPr>
          <w:rFonts w:ascii="宋体" w:eastAsia="宋体" w:hAnsi="宋体" w:hint="eastAsia"/>
          <w:sz w:val="22"/>
        </w:rPr>
        <w:t>月2</w:t>
      </w:r>
      <w:r w:rsidRPr="003722C5">
        <w:rPr>
          <w:rFonts w:ascii="宋体" w:eastAsia="宋体" w:hAnsi="宋体"/>
          <w:sz w:val="22"/>
        </w:rPr>
        <w:t>3</w:t>
      </w:r>
      <w:r w:rsidRPr="003722C5">
        <w:rPr>
          <w:rFonts w:ascii="宋体" w:eastAsia="宋体" w:hAnsi="宋体" w:hint="eastAsia"/>
          <w:sz w:val="22"/>
        </w:rPr>
        <w:t>日上午9：0</w:t>
      </w:r>
      <w:r w:rsidRPr="003722C5">
        <w:rPr>
          <w:rFonts w:ascii="宋体" w:eastAsia="宋体" w:hAnsi="宋体"/>
          <w:sz w:val="22"/>
        </w:rPr>
        <w:t>0</w:t>
      </w:r>
    </w:p>
    <w:p w:rsidR="008B7A70" w:rsidRPr="003722C5" w:rsidRDefault="008B7A70" w:rsidP="008B7A70">
      <w:pPr>
        <w:spacing w:line="360" w:lineRule="auto"/>
        <w:rPr>
          <w:rFonts w:ascii="宋体" w:eastAsia="宋体" w:hAnsi="宋体"/>
          <w:sz w:val="22"/>
        </w:rPr>
      </w:pPr>
    </w:p>
    <w:p w:rsidR="00B9479B" w:rsidRDefault="00B9479B" w:rsidP="008B7A70">
      <w:pPr>
        <w:spacing w:line="360" w:lineRule="auto"/>
        <w:rPr>
          <w:rFonts w:ascii="宋体" w:eastAsia="宋体" w:hAnsi="宋体"/>
          <w:sz w:val="22"/>
        </w:rPr>
      </w:pPr>
      <w:r w:rsidRPr="003722C5">
        <w:rPr>
          <w:rFonts w:ascii="宋体" w:eastAsia="宋体" w:hAnsi="宋体" w:hint="eastAsia"/>
          <w:sz w:val="22"/>
        </w:rPr>
        <w:t>预答辩地点：北京师范大学后主楼2</w:t>
      </w:r>
      <w:r w:rsidRPr="003722C5">
        <w:rPr>
          <w:rFonts w:ascii="宋体" w:eastAsia="宋体" w:hAnsi="宋体"/>
          <w:sz w:val="22"/>
        </w:rPr>
        <w:t>026</w:t>
      </w:r>
    </w:p>
    <w:p w:rsidR="008B7A70" w:rsidRPr="003722C5" w:rsidRDefault="008B7A70" w:rsidP="008B7A70">
      <w:pPr>
        <w:spacing w:line="360" w:lineRule="auto"/>
        <w:rPr>
          <w:rFonts w:ascii="宋体" w:eastAsia="宋体" w:hAnsi="宋体"/>
          <w:sz w:val="22"/>
        </w:rPr>
      </w:pPr>
    </w:p>
    <w:p w:rsidR="00CB5350" w:rsidRDefault="003722C5" w:rsidP="008B7A70">
      <w:pPr>
        <w:spacing w:line="360" w:lineRule="auto"/>
        <w:rPr>
          <w:rFonts w:ascii="宋体" w:eastAsia="宋体" w:hAnsi="宋体"/>
          <w:sz w:val="22"/>
        </w:rPr>
      </w:pPr>
      <w:r w:rsidRPr="003722C5">
        <w:rPr>
          <w:rFonts w:ascii="宋体" w:eastAsia="宋体" w:hAnsi="宋体" w:hint="eastAsia"/>
          <w:sz w:val="22"/>
        </w:rPr>
        <w:t>论文题目：</w:t>
      </w:r>
      <w:r w:rsidR="00CB5350" w:rsidRPr="003722C5">
        <w:rPr>
          <w:rFonts w:ascii="宋体" w:eastAsia="宋体" w:hAnsi="宋体" w:hint="eastAsia"/>
          <w:sz w:val="22"/>
        </w:rPr>
        <w:t>儿童灾害风险应对能力建设的框架与实证研究</w:t>
      </w:r>
    </w:p>
    <w:p w:rsidR="008B7A70" w:rsidRPr="003722C5" w:rsidRDefault="008B7A70" w:rsidP="008B7A70">
      <w:pPr>
        <w:spacing w:line="360" w:lineRule="auto"/>
        <w:rPr>
          <w:rFonts w:ascii="宋体" w:eastAsia="宋体" w:hAnsi="宋体" w:hint="eastAsia"/>
          <w:sz w:val="22"/>
        </w:rPr>
      </w:pPr>
    </w:p>
    <w:p w:rsidR="00CB5350" w:rsidRDefault="003722C5" w:rsidP="008B7A70">
      <w:pPr>
        <w:spacing w:line="360" w:lineRule="auto"/>
        <w:rPr>
          <w:rFonts w:ascii="宋体" w:eastAsia="宋体" w:hAnsi="宋体" w:cs="Times New Roman"/>
          <w:sz w:val="22"/>
        </w:rPr>
      </w:pPr>
      <w:r w:rsidRPr="003722C5">
        <w:rPr>
          <w:rFonts w:ascii="宋体" w:eastAsia="宋体" w:hAnsi="宋体" w:cs="Times New Roman" w:hint="eastAsia"/>
          <w:sz w:val="22"/>
        </w:rPr>
        <w:t>简述：</w:t>
      </w:r>
    </w:p>
    <w:p w:rsidR="008B7A70" w:rsidRPr="003722C5" w:rsidRDefault="008B7A70" w:rsidP="008B7A70">
      <w:pPr>
        <w:spacing w:line="360" w:lineRule="auto"/>
        <w:rPr>
          <w:rFonts w:ascii="宋体" w:eastAsia="宋体" w:hAnsi="宋体" w:cs="Times New Roman" w:hint="eastAsia"/>
          <w:sz w:val="22"/>
        </w:rPr>
      </w:pPr>
    </w:p>
    <w:p w:rsidR="00FB1B90" w:rsidRPr="003722C5" w:rsidRDefault="00CB5350" w:rsidP="008B7A70">
      <w:pPr>
        <w:spacing w:line="360" w:lineRule="auto"/>
        <w:rPr>
          <w:rFonts w:ascii="宋体" w:eastAsia="宋体" w:hAnsi="宋体" w:cs="Times New Roman"/>
          <w:sz w:val="22"/>
        </w:rPr>
      </w:pPr>
      <w:r w:rsidRPr="003722C5">
        <w:rPr>
          <w:rFonts w:ascii="宋体" w:eastAsia="宋体" w:hAnsi="宋体" w:cs="Times New Roman" w:hint="eastAsia"/>
          <w:sz w:val="22"/>
        </w:rPr>
        <w:t>儿童灾害风险教育一直以来是学术界的焦点，儿童灾害风险教育政策出台也得到了公众的关注，然而这些政策落实到现实中出现了很多问题，</w:t>
      </w:r>
      <w:r w:rsidRPr="003722C5">
        <w:rPr>
          <w:rFonts w:ascii="宋体" w:eastAsia="宋体" w:hAnsi="宋体" w:cs="Times New Roman"/>
          <w:sz w:val="22"/>
        </w:rPr>
        <w:t>为了避免政策执行</w:t>
      </w:r>
      <w:r w:rsidRPr="003722C5">
        <w:rPr>
          <w:rFonts w:ascii="宋体" w:eastAsia="宋体" w:hAnsi="宋体" w:cs="Times New Roman" w:hint="eastAsia"/>
          <w:sz w:val="22"/>
        </w:rPr>
        <w:t>出现偏倚的</w:t>
      </w:r>
      <w:r w:rsidR="00B9479B" w:rsidRPr="003722C5">
        <w:rPr>
          <w:rFonts w:ascii="宋体" w:eastAsia="宋体" w:hAnsi="宋体" w:cs="Times New Roman"/>
          <w:sz w:val="22"/>
        </w:rPr>
        <w:t>管理现象，强化儿童灾害风险教育</w:t>
      </w:r>
      <w:r w:rsidRPr="003722C5">
        <w:rPr>
          <w:rFonts w:ascii="宋体" w:eastAsia="宋体" w:hAnsi="宋体" w:cs="Times New Roman"/>
          <w:sz w:val="22"/>
        </w:rPr>
        <w:t>以及增强灾害风险意识和防范能力就会成为政府解决上述</w:t>
      </w:r>
      <w:r w:rsidRPr="003722C5">
        <w:rPr>
          <w:rFonts w:ascii="宋体" w:eastAsia="宋体" w:hAnsi="宋体" w:cs="Times New Roman" w:hint="eastAsia"/>
          <w:sz w:val="22"/>
        </w:rPr>
        <w:t>政策</w:t>
      </w:r>
      <w:r w:rsidRPr="003722C5">
        <w:rPr>
          <w:rFonts w:ascii="宋体" w:eastAsia="宋体" w:hAnsi="宋体" w:cs="Times New Roman"/>
          <w:sz w:val="22"/>
        </w:rPr>
        <w:t>问题的重要抓手</w:t>
      </w:r>
      <w:r w:rsidRPr="003722C5">
        <w:rPr>
          <w:rFonts w:ascii="宋体" w:eastAsia="宋体" w:hAnsi="宋体" w:cs="Times New Roman" w:hint="eastAsia"/>
          <w:sz w:val="22"/>
        </w:rPr>
        <w:t>。</w:t>
      </w:r>
      <w:r w:rsidR="00C03BBB" w:rsidRPr="003722C5">
        <w:rPr>
          <w:rFonts w:ascii="宋体" w:eastAsia="宋体" w:hAnsi="宋体" w:cs="Times New Roman"/>
          <w:sz w:val="22"/>
        </w:rPr>
        <w:t>本研究聚焦于促进儿童的认知从而提高儿童的灾害风险的应对能力</w:t>
      </w:r>
      <w:r w:rsidR="00C03BBB" w:rsidRPr="003722C5">
        <w:rPr>
          <w:rFonts w:ascii="宋体" w:eastAsia="宋体" w:hAnsi="宋体" w:cs="Times New Roman" w:hint="eastAsia"/>
          <w:sz w:val="22"/>
        </w:rPr>
        <w:t>，并对影响应对能力的因素进行分析，揭示干预效果，并形成</w:t>
      </w:r>
      <w:r w:rsidR="00880444" w:rsidRPr="003722C5">
        <w:rPr>
          <w:rFonts w:ascii="宋体" w:eastAsia="宋体" w:hAnsi="宋体" w:cs="Times New Roman" w:hint="eastAsia"/>
          <w:sz w:val="22"/>
        </w:rPr>
        <w:t>儿童灾害风险教育政策的评估体系</w:t>
      </w:r>
      <w:r w:rsidR="00D74A4C" w:rsidRPr="003722C5">
        <w:rPr>
          <w:rFonts w:ascii="宋体" w:eastAsia="宋体" w:hAnsi="宋体" w:cs="Times New Roman" w:hint="eastAsia"/>
          <w:sz w:val="22"/>
        </w:rPr>
        <w:t>。本研究选取</w:t>
      </w:r>
      <w:r w:rsidR="00C21FBF" w:rsidRPr="003722C5">
        <w:rPr>
          <w:rFonts w:ascii="宋体" w:eastAsia="宋体" w:hAnsi="宋体" w:cs="Times New Roman" w:hint="eastAsia"/>
          <w:sz w:val="22"/>
        </w:rPr>
        <w:t>了</w:t>
      </w:r>
      <w:r w:rsidR="00C21FBF" w:rsidRPr="003722C5">
        <w:rPr>
          <w:rFonts w:ascii="宋体" w:eastAsia="宋体" w:hAnsi="宋体" w:cs="Times New Roman"/>
          <w:sz w:val="22"/>
        </w:rPr>
        <w:t>四川省雅安市芦山县的中小学学生作为研究的样本</w:t>
      </w:r>
      <w:r w:rsidR="00C21FBF" w:rsidRPr="003722C5">
        <w:rPr>
          <w:rFonts w:ascii="宋体" w:eastAsia="宋体" w:hAnsi="宋体" w:cs="Times New Roman" w:hint="eastAsia"/>
          <w:sz w:val="22"/>
        </w:rPr>
        <w:t>，原因在于芦山县是</w:t>
      </w:r>
      <w:r w:rsidR="00C21FBF" w:rsidRPr="003722C5">
        <w:rPr>
          <w:rFonts w:ascii="宋体" w:eastAsia="宋体" w:hAnsi="宋体" w:cs="Times New Roman"/>
          <w:sz w:val="22"/>
        </w:rPr>
        <w:t>全国为数不多的防灾减灾示范区县，芦山县对灾害风险防范以及教育工作非常重视</w:t>
      </w:r>
      <w:r w:rsidR="007C0EF3" w:rsidRPr="003722C5">
        <w:rPr>
          <w:rFonts w:ascii="宋体" w:eastAsia="宋体" w:hAnsi="宋体" w:cs="Times New Roman" w:hint="eastAsia"/>
          <w:sz w:val="22"/>
        </w:rPr>
        <w:t>。通过对数据进行分析发现，</w:t>
      </w:r>
      <w:r w:rsidR="002661F9" w:rsidRPr="003722C5">
        <w:rPr>
          <w:rFonts w:ascii="宋体" w:eastAsia="宋体" w:hAnsi="宋体" w:cs="Times New Roman" w:hint="eastAsia"/>
          <w:sz w:val="22"/>
        </w:rPr>
        <w:t>1、</w:t>
      </w:r>
      <w:r w:rsidR="007C0EF3" w:rsidRPr="003722C5">
        <w:rPr>
          <w:rFonts w:ascii="宋体" w:eastAsia="宋体" w:hAnsi="宋体" w:cs="Times New Roman"/>
          <w:sz w:val="22"/>
        </w:rPr>
        <w:t>对儿童进行灾害风险教育是必要的；教学方式的趣味性的增加需要和灾害风险原理相结合，从感性和科学性分析这两个层面对儿童的认知进行改变；2、引导儿童对灾害风险中的致灾因子和脆弱性进行详细解读，并详细剖析灾害风险的原理，训练儿童将灾害风险原理应用于不同风险情境3、对儿童灾害风险教育政策效果的评估不仅需要落脚于行为，还需要考虑认知能力以及认知等因素。</w:t>
      </w:r>
    </w:p>
    <w:p w:rsidR="003722C5" w:rsidRPr="003722C5" w:rsidRDefault="003722C5" w:rsidP="008B7A70">
      <w:pPr>
        <w:spacing w:line="360" w:lineRule="auto"/>
        <w:rPr>
          <w:rFonts w:ascii="宋体" w:eastAsia="宋体" w:hAnsi="宋体" w:cs="Times New Roman"/>
          <w:sz w:val="22"/>
        </w:rPr>
      </w:pPr>
    </w:p>
    <w:p w:rsidR="003722C5" w:rsidRDefault="003722C5" w:rsidP="008B7A70">
      <w:pPr>
        <w:spacing w:line="360" w:lineRule="auto"/>
        <w:rPr>
          <w:rFonts w:ascii="宋体" w:eastAsia="宋体" w:hAnsi="宋体" w:cs="Times New Roman"/>
          <w:sz w:val="22"/>
        </w:rPr>
      </w:pPr>
      <w:r w:rsidRPr="003722C5">
        <w:rPr>
          <w:rFonts w:ascii="宋体" w:eastAsia="宋体" w:hAnsi="宋体" w:cs="Times New Roman" w:hint="eastAsia"/>
          <w:sz w:val="22"/>
        </w:rPr>
        <w:t>答辩组</w:t>
      </w:r>
      <w:r w:rsidR="00EC0456">
        <w:rPr>
          <w:rFonts w:ascii="宋体" w:eastAsia="宋体" w:hAnsi="宋体" w:cs="Times New Roman" w:hint="eastAsia"/>
          <w:sz w:val="22"/>
        </w:rPr>
        <w:t>成员</w:t>
      </w:r>
      <w:r w:rsidRPr="003722C5">
        <w:rPr>
          <w:rFonts w:ascii="宋体" w:eastAsia="宋体" w:hAnsi="宋体" w:cs="Times New Roman" w:hint="eastAsia"/>
          <w:sz w:val="22"/>
        </w:rPr>
        <w:t>（</w:t>
      </w:r>
      <w:r w:rsidRPr="003722C5">
        <w:rPr>
          <w:rFonts w:ascii="宋体" w:eastAsia="宋体" w:hAnsi="宋体" w:cs="Times New Roman"/>
          <w:sz w:val="22"/>
        </w:rPr>
        <w:t>5</w:t>
      </w:r>
      <w:r w:rsidRPr="003722C5">
        <w:rPr>
          <w:rFonts w:ascii="宋体" w:eastAsia="宋体" w:hAnsi="宋体" w:cs="Times New Roman" w:hint="eastAsia"/>
          <w:sz w:val="22"/>
        </w:rPr>
        <w:t>人）：</w:t>
      </w:r>
    </w:p>
    <w:p w:rsidR="008B7A70" w:rsidRPr="003722C5" w:rsidRDefault="008B7A70" w:rsidP="008B7A70">
      <w:pPr>
        <w:spacing w:line="360" w:lineRule="auto"/>
        <w:rPr>
          <w:rFonts w:ascii="宋体" w:eastAsia="宋体" w:hAnsi="宋体" w:cs="Times New Roman" w:hint="eastAsia"/>
          <w:sz w:val="22"/>
        </w:rPr>
      </w:pPr>
    </w:p>
    <w:p w:rsidR="003722C5" w:rsidRPr="003722C5" w:rsidRDefault="003722C5" w:rsidP="008B7A70">
      <w:pPr>
        <w:spacing w:line="360" w:lineRule="auto"/>
        <w:rPr>
          <w:rFonts w:ascii="宋体" w:eastAsia="宋体" w:hAnsi="宋体"/>
          <w:sz w:val="22"/>
        </w:rPr>
      </w:pPr>
      <w:r w:rsidRPr="003722C5">
        <w:rPr>
          <w:rFonts w:ascii="宋体" w:eastAsia="宋体" w:hAnsi="宋体"/>
          <w:sz w:val="22"/>
        </w:rPr>
        <w:t>彭宗超 清华大学公共管理学院党委书记、教授（主席）</w:t>
      </w:r>
    </w:p>
    <w:p w:rsidR="003722C5" w:rsidRPr="003722C5" w:rsidRDefault="003722C5" w:rsidP="008B7A70">
      <w:pPr>
        <w:spacing w:line="360" w:lineRule="auto"/>
        <w:rPr>
          <w:rFonts w:ascii="宋体" w:eastAsia="宋体" w:hAnsi="宋体"/>
          <w:sz w:val="22"/>
        </w:rPr>
      </w:pPr>
      <w:r w:rsidRPr="003722C5">
        <w:rPr>
          <w:rFonts w:ascii="宋体" w:eastAsia="宋体" w:hAnsi="宋体"/>
          <w:sz w:val="22"/>
        </w:rPr>
        <w:lastRenderedPageBreak/>
        <w:t>边玉芳 北京师范大学中国基础教育质量监测协同创新中心学术委员会主任</w:t>
      </w:r>
      <w:r w:rsidR="000616AB">
        <w:rPr>
          <w:rFonts w:ascii="宋体" w:eastAsia="宋体" w:hAnsi="宋体" w:hint="eastAsia"/>
          <w:sz w:val="22"/>
        </w:rPr>
        <w:t>、</w:t>
      </w:r>
      <w:r w:rsidRPr="003722C5">
        <w:rPr>
          <w:rFonts w:ascii="宋体" w:eastAsia="宋体" w:hAnsi="宋体"/>
          <w:sz w:val="22"/>
        </w:rPr>
        <w:t>教授</w:t>
      </w:r>
    </w:p>
    <w:p w:rsidR="003722C5" w:rsidRPr="003722C5" w:rsidRDefault="003722C5" w:rsidP="008B7A70">
      <w:pPr>
        <w:spacing w:line="360" w:lineRule="auto"/>
        <w:rPr>
          <w:rFonts w:ascii="宋体" w:eastAsia="宋体" w:hAnsi="宋体"/>
          <w:sz w:val="22"/>
        </w:rPr>
      </w:pPr>
      <w:r w:rsidRPr="003722C5">
        <w:rPr>
          <w:rFonts w:ascii="宋体" w:eastAsia="宋体" w:hAnsi="宋体"/>
          <w:sz w:val="22"/>
        </w:rPr>
        <w:t>高小平 中国行政管理学会原执行副会长、研究员</w:t>
      </w:r>
    </w:p>
    <w:p w:rsidR="003722C5" w:rsidRPr="003722C5" w:rsidRDefault="003722C5" w:rsidP="008B7A70">
      <w:pPr>
        <w:spacing w:line="360" w:lineRule="auto"/>
        <w:rPr>
          <w:rFonts w:ascii="宋体" w:eastAsia="宋体" w:hAnsi="宋体"/>
          <w:sz w:val="22"/>
        </w:rPr>
      </w:pPr>
      <w:r w:rsidRPr="003722C5">
        <w:rPr>
          <w:rFonts w:ascii="宋体" w:eastAsia="宋体" w:hAnsi="宋体"/>
          <w:sz w:val="22"/>
        </w:rPr>
        <w:t>詹承豫 北京航空航天大学公共管理学院公共政策与应急管理系主任、教授</w:t>
      </w:r>
    </w:p>
    <w:p w:rsidR="003722C5" w:rsidRDefault="003722C5" w:rsidP="008B7A70">
      <w:pPr>
        <w:spacing w:line="360" w:lineRule="auto"/>
        <w:rPr>
          <w:rFonts w:ascii="宋体" w:eastAsia="宋体" w:hAnsi="宋体"/>
          <w:sz w:val="22"/>
        </w:rPr>
      </w:pPr>
      <w:r w:rsidRPr="003722C5">
        <w:rPr>
          <w:rFonts w:ascii="宋体" w:eastAsia="宋体" w:hAnsi="宋体"/>
          <w:sz w:val="22"/>
        </w:rPr>
        <w:t>张  欢 北京师范大学社会发展与公共政策学院</w:t>
      </w:r>
      <w:r>
        <w:rPr>
          <w:rFonts w:ascii="宋体" w:eastAsia="宋体" w:hAnsi="宋体" w:hint="eastAsia"/>
          <w:sz w:val="22"/>
        </w:rPr>
        <w:t>、</w:t>
      </w:r>
      <w:r w:rsidRPr="003722C5">
        <w:rPr>
          <w:rFonts w:ascii="宋体" w:eastAsia="宋体" w:hAnsi="宋体"/>
          <w:sz w:val="22"/>
        </w:rPr>
        <w:t>教授</w:t>
      </w:r>
    </w:p>
    <w:p w:rsidR="00A55500" w:rsidRDefault="00A55500" w:rsidP="008B7A70">
      <w:pPr>
        <w:spacing w:line="360" w:lineRule="auto"/>
        <w:rPr>
          <w:rFonts w:ascii="宋体" w:eastAsia="宋体" w:hAnsi="宋体"/>
          <w:sz w:val="22"/>
        </w:rPr>
      </w:pPr>
    </w:p>
    <w:p w:rsidR="00A55500" w:rsidRPr="003722C5" w:rsidRDefault="00A55500" w:rsidP="008B7A70">
      <w:pPr>
        <w:spacing w:line="360" w:lineRule="auto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答辩秘书：刘城城</w:t>
      </w:r>
      <w:r w:rsidR="00EC0456">
        <w:rPr>
          <w:rFonts w:ascii="宋体" w:eastAsia="宋体" w:hAnsi="宋体" w:hint="eastAsia"/>
          <w:sz w:val="22"/>
        </w:rPr>
        <w:t xml:space="preserve"> （</w:t>
      </w:r>
      <w:r w:rsidR="00407A8C">
        <w:rPr>
          <w:rFonts w:ascii="宋体" w:eastAsia="宋体" w:hAnsi="宋体" w:hint="eastAsia"/>
          <w:sz w:val="22"/>
        </w:rPr>
        <w:t>北京师范大学社会发展与公共政策学院博士生</w:t>
      </w:r>
      <w:r w:rsidR="00EC0456">
        <w:rPr>
          <w:rFonts w:ascii="宋体" w:eastAsia="宋体" w:hAnsi="宋体" w:hint="eastAsia"/>
          <w:sz w:val="22"/>
        </w:rPr>
        <w:t>）</w:t>
      </w:r>
    </w:p>
    <w:sectPr w:rsidR="00A55500" w:rsidRPr="00372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D2" w:rsidRDefault="005B4BD2" w:rsidP="00CB5350">
      <w:r>
        <w:separator/>
      </w:r>
    </w:p>
  </w:endnote>
  <w:endnote w:type="continuationSeparator" w:id="0">
    <w:p w:rsidR="005B4BD2" w:rsidRDefault="005B4BD2" w:rsidP="00CB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D2" w:rsidRDefault="005B4BD2" w:rsidP="00CB5350">
      <w:r>
        <w:separator/>
      </w:r>
    </w:p>
  </w:footnote>
  <w:footnote w:type="continuationSeparator" w:id="0">
    <w:p w:rsidR="005B4BD2" w:rsidRDefault="005B4BD2" w:rsidP="00CB5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tbAwMzI1NTUzNzNQ0lEKTi0uzszPAykwqQUADaYr2CwAAAA="/>
  </w:docVars>
  <w:rsids>
    <w:rsidRoot w:val="00747D0C"/>
    <w:rsid w:val="000616AB"/>
    <w:rsid w:val="002661F9"/>
    <w:rsid w:val="003130B4"/>
    <w:rsid w:val="003722C5"/>
    <w:rsid w:val="00407A8C"/>
    <w:rsid w:val="00432C06"/>
    <w:rsid w:val="004B0354"/>
    <w:rsid w:val="005B4BD2"/>
    <w:rsid w:val="00747D0C"/>
    <w:rsid w:val="00795B11"/>
    <w:rsid w:val="007C0EF3"/>
    <w:rsid w:val="00816BEC"/>
    <w:rsid w:val="00880444"/>
    <w:rsid w:val="008B7A70"/>
    <w:rsid w:val="00A55500"/>
    <w:rsid w:val="00B9479B"/>
    <w:rsid w:val="00C03BBB"/>
    <w:rsid w:val="00C21FBF"/>
    <w:rsid w:val="00C943F4"/>
    <w:rsid w:val="00CB5350"/>
    <w:rsid w:val="00CC4B3F"/>
    <w:rsid w:val="00D440B0"/>
    <w:rsid w:val="00D61604"/>
    <w:rsid w:val="00D74A4C"/>
    <w:rsid w:val="00EC0456"/>
    <w:rsid w:val="00EC5ACE"/>
    <w:rsid w:val="00ED25FE"/>
    <w:rsid w:val="00FA0670"/>
    <w:rsid w:val="00FB1B90"/>
    <w:rsid w:val="00FD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6E7E3"/>
  <w15:chartTrackingRefBased/>
  <w15:docId w15:val="{299BF226-5A1D-4866-8B8E-CE05B18A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604"/>
    <w:pPr>
      <w:widowControl w:val="0"/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B0354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1604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D12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B0354"/>
    <w:rPr>
      <w:rFonts w:eastAsia="Times New Roman"/>
      <w:b/>
      <w:bCs/>
      <w:kern w:val="44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D61604"/>
    <w:rPr>
      <w:rFonts w:asciiTheme="majorHAnsi" w:eastAsia="Times New Roman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FD12B1"/>
    <w:rPr>
      <w:rFonts w:eastAsia="Times New Roman"/>
      <w:b/>
      <w:bCs/>
      <w:sz w:val="32"/>
      <w:szCs w:val="32"/>
    </w:rPr>
  </w:style>
  <w:style w:type="paragraph" w:customStyle="1" w:styleId="21">
    <w:name w:val="标题2"/>
    <w:basedOn w:val="1"/>
    <w:link w:val="22"/>
    <w:qFormat/>
    <w:rsid w:val="00D61604"/>
    <w:rPr>
      <w:sz w:val="28"/>
    </w:rPr>
  </w:style>
  <w:style w:type="character" w:customStyle="1" w:styleId="22">
    <w:name w:val="标题2 字符"/>
    <w:basedOn w:val="10"/>
    <w:link w:val="21"/>
    <w:rsid w:val="00D61604"/>
    <w:rPr>
      <w:rFonts w:ascii="Times New Roman" w:eastAsia="Times New Roman" w:hAnsi="Times New Roman" w:cs="Times New Roman"/>
      <w:b/>
      <w:bCs/>
      <w:kern w:val="44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CB5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5350"/>
    <w:rPr>
      <w:rFonts w:eastAsia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5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5350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3</cp:revision>
  <dcterms:created xsi:type="dcterms:W3CDTF">2021-12-20T08:21:00Z</dcterms:created>
  <dcterms:modified xsi:type="dcterms:W3CDTF">2021-12-20T09:11:00Z</dcterms:modified>
</cp:coreProperties>
</file>