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92F" w:rsidRPr="007D592F" w:rsidRDefault="007D592F" w:rsidP="007D592F">
      <w:pPr>
        <w:widowControl/>
        <w:spacing w:line="244" w:lineRule="atLeast"/>
        <w:jc w:val="left"/>
        <w:rPr>
          <w:rFonts w:ascii="等线" w:eastAsia="等线" w:hAnsi="等线" w:cs="Arial"/>
          <w:color w:val="000000"/>
          <w:kern w:val="0"/>
          <w:szCs w:val="21"/>
        </w:rPr>
      </w:pPr>
      <w:r w:rsidRPr="007D592F">
        <w:rPr>
          <w:rFonts w:ascii="宋体" w:eastAsia="宋体" w:hAnsi="宋体" w:cs="Arial" w:hint="eastAsia"/>
          <w:b/>
          <w:bCs/>
          <w:color w:val="000000"/>
          <w:kern w:val="0"/>
          <w:sz w:val="24"/>
          <w:szCs w:val="24"/>
        </w:rPr>
        <w:t>博士生姓名：</w:t>
      </w:r>
      <w:r w:rsidRPr="007D592F">
        <w:rPr>
          <w:rFonts w:ascii="宋体" w:eastAsia="宋体" w:hAnsi="宋体" w:cs="Arial" w:hint="eastAsia"/>
          <w:color w:val="000000"/>
          <w:kern w:val="0"/>
          <w:sz w:val="24"/>
          <w:szCs w:val="24"/>
        </w:rPr>
        <w:t>黄磊</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b/>
          <w:bCs/>
          <w:color w:val="000000"/>
          <w:kern w:val="0"/>
          <w:sz w:val="24"/>
          <w:szCs w:val="24"/>
        </w:rPr>
        <w:t>年级专业：</w:t>
      </w:r>
      <w:r w:rsidRPr="007D592F">
        <w:rPr>
          <w:rFonts w:ascii="宋体" w:eastAsia="宋体" w:hAnsi="宋体" w:cs="Arial" w:hint="eastAsia"/>
          <w:color w:val="000000"/>
          <w:kern w:val="0"/>
          <w:sz w:val="24"/>
          <w:szCs w:val="24"/>
        </w:rPr>
        <w:t>2014级公共管理专业  社会医学与卫生事业管理方向</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b/>
          <w:bCs/>
          <w:color w:val="000000"/>
          <w:kern w:val="0"/>
          <w:sz w:val="24"/>
          <w:szCs w:val="24"/>
        </w:rPr>
        <w:t>导师姓名： </w:t>
      </w:r>
      <w:r w:rsidRPr="007D592F">
        <w:rPr>
          <w:rFonts w:ascii="宋体" w:eastAsia="宋体" w:hAnsi="宋体" w:cs="Arial" w:hint="eastAsia"/>
          <w:color w:val="000000"/>
          <w:kern w:val="0"/>
          <w:sz w:val="24"/>
          <w:szCs w:val="24"/>
        </w:rPr>
        <w:t>田东华 教授</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b/>
          <w:bCs/>
          <w:color w:val="000000"/>
          <w:kern w:val="0"/>
          <w:sz w:val="24"/>
          <w:szCs w:val="24"/>
        </w:rPr>
        <w:t> </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b/>
          <w:bCs/>
          <w:color w:val="000000"/>
          <w:kern w:val="0"/>
          <w:sz w:val="24"/>
          <w:szCs w:val="24"/>
        </w:rPr>
        <w:t>预答辩时间及地点：</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color w:val="000000"/>
          <w:kern w:val="0"/>
          <w:sz w:val="24"/>
          <w:szCs w:val="24"/>
        </w:rPr>
        <w:t>2022年10月8日（周六）上午10:00-11:30；</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color w:val="000000"/>
          <w:kern w:val="0"/>
          <w:sz w:val="24"/>
          <w:szCs w:val="24"/>
        </w:rPr>
        <w:t>腾讯会议：919-480-346</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Verdana" w:eastAsia="等线" w:hAnsi="Verdana" w:cs="Arial"/>
          <w:color w:val="000000"/>
          <w:kern w:val="0"/>
          <w:sz w:val="24"/>
          <w:szCs w:val="24"/>
        </w:rPr>
        <w:t> </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b/>
          <w:bCs/>
          <w:color w:val="000000"/>
          <w:kern w:val="0"/>
          <w:sz w:val="24"/>
          <w:szCs w:val="24"/>
        </w:rPr>
        <w:t>预答辩论文题目：</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color w:val="000000"/>
          <w:kern w:val="0"/>
          <w:sz w:val="24"/>
          <w:szCs w:val="24"/>
        </w:rPr>
        <w:t>基层医疗卫生机构疫情防控能力建设制约因素及应对策略——基于多层次能力建设理论的分析</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Verdana" w:eastAsia="等线" w:hAnsi="Verdana" w:cs="Arial"/>
          <w:color w:val="000000"/>
          <w:kern w:val="0"/>
          <w:sz w:val="24"/>
          <w:szCs w:val="24"/>
        </w:rPr>
        <w:t> </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b/>
          <w:bCs/>
          <w:color w:val="000000"/>
          <w:kern w:val="0"/>
          <w:sz w:val="24"/>
          <w:szCs w:val="24"/>
        </w:rPr>
        <w:t>预答辩简述：</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color w:val="000000"/>
          <w:kern w:val="0"/>
          <w:sz w:val="24"/>
          <w:szCs w:val="24"/>
        </w:rPr>
        <w:t>2020年疫情爆发以来，各地基层医疗卫生机构充分发挥卫生健康服务体系“网底”和社区防控主力军作用，为坚决遏制疫情在城乡社区扩散和蔓延做出了积极贡献。然而，基层医疗卫生机构作为公共卫生服务体系网底，暴露出应对重大传染病防控的能力不足。本研究利用能力建设理论分析框架分析我国基层医疗卫生机构应对重大疫情防控的制约因素，提出加强基层医疗卫生机构疫情防控能力建设的策略和政策建议。研究发现基层医疗卫生服务机构疫情防控能力不足的原因主要分为工作环境、机构能力和人员能力三个方面，研究建议疫情防控应该从明确基层医疗卫生机构在疫情防控中的作用、加强基层医疗卫生机构服务能力建设、加强卫生人员教育培训等方面进行疫情防控能力提升。本研究有利于强化基层医疗卫生服务机构能力，提高基层医疗卫生服务机构疫情防控资源的利用率和疫情防控体系服务绩效，为促进国家基本公共卫生服务逐步均等化，保障经济社会秩序全面恢复和安全发展发挥应有的作用。</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color w:val="000000"/>
          <w:kern w:val="0"/>
          <w:sz w:val="24"/>
          <w:szCs w:val="24"/>
        </w:rPr>
        <w:t> </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b/>
          <w:bCs/>
          <w:color w:val="000000"/>
          <w:kern w:val="0"/>
          <w:sz w:val="24"/>
          <w:szCs w:val="24"/>
        </w:rPr>
        <w:t>预答辩组成员：</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color w:val="000000"/>
          <w:kern w:val="0"/>
          <w:sz w:val="24"/>
          <w:szCs w:val="24"/>
        </w:rPr>
        <w:t>金承刚（主席）：北京师范大学社会发展与公共政策学院 教授、博士生导师</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color w:val="000000"/>
          <w:kern w:val="0"/>
          <w:sz w:val="24"/>
          <w:szCs w:val="24"/>
        </w:rPr>
        <w:t>屈智勇：北京师范大学社会发展与公共政策学院  教授、博士生导师</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color w:val="000000"/>
          <w:kern w:val="0"/>
          <w:sz w:val="24"/>
          <w:szCs w:val="24"/>
        </w:rPr>
        <w:t>王晓华：北京师范大学社会发展与公共政策学院  教授、博士生导师</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color w:val="000000"/>
          <w:kern w:val="0"/>
          <w:sz w:val="24"/>
          <w:szCs w:val="24"/>
        </w:rPr>
        <w:t>苗艳青：国家卫生健康委卫生发展研究中心      研究员</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color w:val="000000"/>
          <w:kern w:val="0"/>
          <w:sz w:val="24"/>
          <w:szCs w:val="24"/>
        </w:rPr>
        <w:t> </w:t>
      </w:r>
    </w:p>
    <w:p w:rsidR="007D592F" w:rsidRPr="007D592F" w:rsidRDefault="007D592F" w:rsidP="007D592F">
      <w:pPr>
        <w:widowControl/>
        <w:spacing w:line="244" w:lineRule="atLeast"/>
        <w:jc w:val="left"/>
        <w:rPr>
          <w:rFonts w:ascii="等线" w:eastAsia="等线" w:hAnsi="等线" w:cs="Arial" w:hint="eastAsia"/>
          <w:color w:val="000000"/>
          <w:kern w:val="0"/>
          <w:szCs w:val="21"/>
        </w:rPr>
      </w:pPr>
      <w:r w:rsidRPr="007D592F">
        <w:rPr>
          <w:rFonts w:ascii="宋体" w:eastAsia="宋体" w:hAnsi="宋体" w:cs="Arial" w:hint="eastAsia"/>
          <w:b/>
          <w:bCs/>
          <w:color w:val="000000"/>
          <w:kern w:val="0"/>
          <w:sz w:val="24"/>
          <w:szCs w:val="24"/>
        </w:rPr>
        <w:t>预答辩秘书：</w:t>
      </w:r>
      <w:r w:rsidRPr="007D592F">
        <w:rPr>
          <w:rFonts w:ascii="宋体" w:eastAsia="宋体" w:hAnsi="宋体" w:cs="Arial" w:hint="eastAsia"/>
          <w:color w:val="000000"/>
          <w:kern w:val="0"/>
          <w:sz w:val="24"/>
          <w:szCs w:val="24"/>
        </w:rPr>
        <w:t>琚罗亦  社会发展与公共政策学院 博士生</w:t>
      </w:r>
    </w:p>
    <w:p w:rsidR="00070A1D" w:rsidRPr="007D592F" w:rsidRDefault="00070A1D">
      <w:bookmarkStart w:id="0" w:name="_GoBack"/>
      <w:bookmarkEnd w:id="0"/>
    </w:p>
    <w:sectPr w:rsidR="00070A1D" w:rsidRPr="007D59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092D" w:rsidRDefault="00EC092D" w:rsidP="007D592F">
      <w:r>
        <w:separator/>
      </w:r>
    </w:p>
  </w:endnote>
  <w:endnote w:type="continuationSeparator" w:id="0">
    <w:p w:rsidR="00EC092D" w:rsidRDefault="00EC092D" w:rsidP="007D5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092D" w:rsidRDefault="00EC092D" w:rsidP="007D592F">
      <w:r>
        <w:separator/>
      </w:r>
    </w:p>
  </w:footnote>
  <w:footnote w:type="continuationSeparator" w:id="0">
    <w:p w:rsidR="00EC092D" w:rsidRDefault="00EC092D" w:rsidP="007D59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F9"/>
    <w:rsid w:val="00070A1D"/>
    <w:rsid w:val="003247F9"/>
    <w:rsid w:val="007D592F"/>
    <w:rsid w:val="00EC09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7216E2-8AF6-4027-BD39-82E8E9414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59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592F"/>
    <w:rPr>
      <w:sz w:val="18"/>
      <w:szCs w:val="18"/>
    </w:rPr>
  </w:style>
  <w:style w:type="paragraph" w:styleId="a5">
    <w:name w:val="footer"/>
    <w:basedOn w:val="a"/>
    <w:link w:val="a6"/>
    <w:uiPriority w:val="99"/>
    <w:unhideWhenUsed/>
    <w:rsid w:val="007D592F"/>
    <w:pPr>
      <w:tabs>
        <w:tab w:val="center" w:pos="4153"/>
        <w:tab w:val="right" w:pos="8306"/>
      </w:tabs>
      <w:snapToGrid w:val="0"/>
      <w:jc w:val="left"/>
    </w:pPr>
    <w:rPr>
      <w:sz w:val="18"/>
      <w:szCs w:val="18"/>
    </w:rPr>
  </w:style>
  <w:style w:type="character" w:customStyle="1" w:styleId="a6">
    <w:name w:val="页脚 字符"/>
    <w:basedOn w:val="a0"/>
    <w:link w:val="a5"/>
    <w:uiPriority w:val="99"/>
    <w:rsid w:val="007D592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396623">
      <w:bodyDiv w:val="1"/>
      <w:marLeft w:val="0"/>
      <w:marRight w:val="0"/>
      <w:marTop w:val="0"/>
      <w:marBottom w:val="0"/>
      <w:divBdr>
        <w:top w:val="none" w:sz="0" w:space="0" w:color="auto"/>
        <w:left w:val="none" w:sz="0" w:space="0" w:color="auto"/>
        <w:bottom w:val="none" w:sz="0" w:space="0" w:color="auto"/>
        <w:right w:val="none" w:sz="0" w:space="0" w:color="auto"/>
      </w:divBdr>
      <w:divsChild>
        <w:div w:id="2025091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未定义</dc:creator>
  <cp:keywords/>
  <dc:description/>
  <cp:lastModifiedBy>未定义</cp:lastModifiedBy>
  <cp:revision>2</cp:revision>
  <dcterms:created xsi:type="dcterms:W3CDTF">2022-10-05T07:58:00Z</dcterms:created>
  <dcterms:modified xsi:type="dcterms:W3CDTF">2022-10-05T07:58:00Z</dcterms:modified>
</cp:coreProperties>
</file>